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33020A90"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pLATNOST OD</w:t>
      </w:r>
      <w:r w:rsidR="006D0256">
        <w:rPr>
          <w:rFonts w:asciiTheme="majorHAnsi" w:hAnsiTheme="majorHAnsi" w:cs="MyriadPro-Black"/>
          <w:caps/>
          <w:sz w:val="32"/>
          <w:szCs w:val="40"/>
        </w:rPr>
        <w:t xml:space="preserve"> 17. 9. 2020 </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bookmarkStart w:id="0" w:name="_GoBack"/>
      <w:bookmarkEnd w:id="0"/>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63B8B04D"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40ED8F7B" w14:textId="189C4E00" w:rsidR="007F029A" w:rsidRDefault="00A91767">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74A62FFB" w14:textId="756F889C" w:rsidR="007F029A" w:rsidRDefault="00A91767">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A252D8">
              <w:rPr>
                <w:noProof/>
                <w:webHidden/>
              </w:rPr>
              <w:t>5</w:t>
            </w:r>
            <w:r w:rsidR="007F029A">
              <w:rPr>
                <w:noProof/>
                <w:webHidden/>
              </w:rPr>
              <w:fldChar w:fldCharType="end"/>
            </w:r>
          </w:hyperlink>
        </w:p>
        <w:p w14:paraId="268BA945" w14:textId="70ED8C60" w:rsidR="007F029A" w:rsidRDefault="00A91767">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6E983EC" w14:textId="0794789C" w:rsidR="007F029A" w:rsidRDefault="00A91767">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776D5FD" w14:textId="2407AD75" w:rsidR="007F029A" w:rsidRDefault="00A91767">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04FC4246" w14:textId="6B6D53AB" w:rsidR="007F029A" w:rsidRDefault="00A91767">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A252D8">
              <w:rPr>
                <w:noProof/>
                <w:webHidden/>
              </w:rPr>
              <w:t>7</w:t>
            </w:r>
            <w:r w:rsidR="007F029A">
              <w:rPr>
                <w:noProof/>
                <w:webHidden/>
              </w:rPr>
              <w:fldChar w:fldCharType="end"/>
            </w:r>
          </w:hyperlink>
        </w:p>
        <w:p w14:paraId="5C873877" w14:textId="4E37FC26" w:rsidR="007F029A" w:rsidRDefault="00A91767">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A252D8">
              <w:rPr>
                <w:noProof/>
                <w:webHidden/>
              </w:rPr>
              <w:t>10</w:t>
            </w:r>
            <w:r w:rsidR="007F029A">
              <w:rPr>
                <w:noProof/>
                <w:webHidden/>
              </w:rPr>
              <w:fldChar w:fldCharType="end"/>
            </w:r>
          </w:hyperlink>
        </w:p>
        <w:p w14:paraId="4A8E208B" w14:textId="4D031AA5" w:rsidR="007F029A" w:rsidRDefault="00A91767">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A252D8">
              <w:rPr>
                <w:noProof/>
                <w:webHidden/>
              </w:rPr>
              <w:t>12</w:t>
            </w:r>
            <w:r w:rsidR="007F029A">
              <w:rPr>
                <w:noProof/>
                <w:webHidden/>
              </w:rPr>
              <w:fldChar w:fldCharType="end"/>
            </w:r>
          </w:hyperlink>
        </w:p>
        <w:p w14:paraId="4983633D" w14:textId="44EBE8D6" w:rsidR="007F029A" w:rsidRDefault="00A91767">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508306D5" w14:textId="7C875280" w:rsidR="007F029A" w:rsidRDefault="00A91767">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1" w:name="_Toc513029414"/>
      <w:r>
        <w:rPr>
          <w:caps/>
        </w:rPr>
        <w:lastRenderedPageBreak/>
        <w:t xml:space="preserve">ÚvodnÍ </w:t>
      </w:r>
      <w:r w:rsidR="00F02008" w:rsidRPr="004A323F">
        <w:rPr>
          <w:caps/>
        </w:rPr>
        <w:t>INFORMACE</w:t>
      </w:r>
      <w:bookmarkEnd w:id="1"/>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2" w:name="_Toc450129233"/>
      <w:bookmarkStart w:id="3" w:name="_Toc450129253"/>
      <w:bookmarkStart w:id="4" w:name="_Toc450129234"/>
      <w:bookmarkStart w:id="5" w:name="_Toc450129254"/>
      <w:bookmarkStart w:id="6" w:name="_Toc513029415"/>
      <w:bookmarkEnd w:id="2"/>
      <w:bookmarkEnd w:id="3"/>
      <w:bookmarkEnd w:id="4"/>
      <w:bookmarkEnd w:id="5"/>
      <w:r w:rsidRPr="004A323F">
        <w:rPr>
          <w:caps/>
        </w:rPr>
        <w:t>Podrobný popis projektu</w:t>
      </w:r>
      <w:bookmarkEnd w:id="6"/>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6FD4512A" w:rsidR="00974A32" w:rsidRDefault="00974A32" w:rsidP="00974A32">
      <w:pPr>
        <w:pStyle w:val="Odstavecseseznamem"/>
        <w:numPr>
          <w:ilvl w:val="1"/>
          <w:numId w:val="18"/>
        </w:numPr>
        <w:jc w:val="both"/>
      </w:pPr>
      <w:r>
        <w:t>Popis vazby na Dlouhodobý záměr vzdělávání a rozvoj vzdělávací soustavy ČR na období 201</w:t>
      </w:r>
      <w:r w:rsidR="00943C89">
        <w:t>9</w:t>
      </w:r>
      <w:r>
        <w:t>-202</w:t>
      </w:r>
      <w:r w:rsidR="00943C89">
        <w:t>3</w:t>
      </w:r>
      <w:r>
        <w:t xml:space="preserve">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B1D26F8"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31B73578" w14:textId="77777777" w:rsidR="00111BF9" w:rsidRDefault="00111BF9" w:rsidP="00111BF9">
      <w:pPr>
        <w:pStyle w:val="Odstavecseseznamem"/>
        <w:numPr>
          <w:ilvl w:val="0"/>
          <w:numId w:val="18"/>
        </w:numPr>
        <w:spacing w:line="240" w:lineRule="auto"/>
        <w:jc w:val="both"/>
        <w:rPr>
          <w:iCs/>
        </w:rPr>
      </w:pPr>
      <w:r>
        <w:rPr>
          <w:iCs/>
        </w:rPr>
        <w:t>Popis vazby projektu na jiné dotační tituly – žadatel popíše, zda projekt získal/nezískal podporu z Národního fondu pro podporu MŠ a ZŠ</w:t>
      </w:r>
    </w:p>
    <w:p w14:paraId="286CF8BF" w14:textId="77777777" w:rsidR="00111BF9" w:rsidRDefault="00111BF9" w:rsidP="00111BF9">
      <w:pPr>
        <w:jc w:val="both"/>
      </w:pPr>
    </w:p>
    <w:p w14:paraId="262BEEB8" w14:textId="2CC87E5D" w:rsidR="00D0376D" w:rsidRPr="00D0376D" w:rsidRDefault="00D0376D" w:rsidP="00D0376D">
      <w:pPr>
        <w:jc w:val="both"/>
        <w:rPr>
          <w:i/>
        </w:rPr>
      </w:pPr>
      <w:r w:rsidRPr="00D0376D">
        <w:rPr>
          <w:i/>
        </w:rPr>
        <w:lastRenderedPageBreak/>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 xml:space="preserve">Počet vybudovaných kmenových učeben </w:t>
            </w:r>
            <w:r w:rsidRPr="00FF614B">
              <w:lastRenderedPageBreak/>
              <w:t>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7" w:name="_Toc451260454"/>
      <w:bookmarkStart w:id="8" w:name="_Toc451260455"/>
      <w:bookmarkStart w:id="9" w:name="_Toc513029416"/>
      <w:bookmarkEnd w:id="7"/>
      <w:bookmarkEnd w:id="8"/>
      <w:r w:rsidRPr="005B64B6">
        <w:rPr>
          <w:caps/>
        </w:rPr>
        <w:t>ZDŮVODNĚNÍ POTŘEBNOSTI REALIZACE PROJEKTU</w:t>
      </w:r>
      <w:bookmarkEnd w:id="9"/>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lastRenderedPageBreak/>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10" w:name="_Toc513029417"/>
      <w:r w:rsidRPr="004A323F">
        <w:rPr>
          <w:caps/>
        </w:rPr>
        <w:t>Připravenost projektu k realizaci</w:t>
      </w:r>
      <w:bookmarkEnd w:id="10"/>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11" w:name="_Toc513029418"/>
      <w:r w:rsidRPr="004A323F">
        <w:rPr>
          <w:caps/>
        </w:rPr>
        <w:t>Management projektu</w:t>
      </w:r>
      <w:r w:rsidR="006E5C82">
        <w:rPr>
          <w:caps/>
        </w:rPr>
        <w:t xml:space="preserve"> a řízení lidských zdrojů</w:t>
      </w:r>
      <w:bookmarkEnd w:id="11"/>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12" w:name="_Toc451260459"/>
      <w:bookmarkStart w:id="13" w:name="_Toc451260461"/>
      <w:bookmarkStart w:id="14" w:name="_Toc451260462"/>
      <w:bookmarkStart w:id="15" w:name="_Toc513029419"/>
      <w:bookmarkEnd w:id="12"/>
      <w:bookmarkEnd w:id="13"/>
      <w:bookmarkEnd w:id="14"/>
      <w:r w:rsidRPr="004A323F">
        <w:rPr>
          <w:rFonts w:eastAsiaTheme="minorHAnsi"/>
          <w:caps/>
        </w:rPr>
        <w:t>Výstupy projektu</w:t>
      </w:r>
      <w:bookmarkEnd w:id="15"/>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lastRenderedPageBreak/>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t>Plán cash-flow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cash-flow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cash-flow:</w:t>
      </w:r>
    </w:p>
    <w:p w14:paraId="633A576B" w14:textId="77777777" w:rsidR="007F579F" w:rsidRDefault="007F579F" w:rsidP="007F579F">
      <w:pPr>
        <w:pStyle w:val="Odstavecseseznamem"/>
        <w:numPr>
          <w:ilvl w:val="1"/>
          <w:numId w:val="13"/>
        </w:numPr>
        <w:ind w:left="1080"/>
        <w:jc w:val="both"/>
      </w:pPr>
      <w:r>
        <w:t>zdůvodnění negativního cash-flow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t>Výsledky finanční analýzy.</w:t>
      </w:r>
    </w:p>
    <w:p w14:paraId="18EF63EB" w14:textId="42DB14CA"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lastRenderedPageBreak/>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7pt;height:98.55pt" o:ole="">
            <v:imagedata r:id="rId10" o:title=""/>
          </v:shape>
          <o:OLEObject Type="Embed" ProgID="Excel.Sheet.12" ShapeID="_x0000_i1025" DrawAspect="Content" ObjectID="_1661781939" r:id="rId11"/>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55pt;height:48.85pt" o:ole="">
            <v:imagedata r:id="rId12" o:title=""/>
          </v:shape>
          <o:OLEObject Type="Embed" ProgID="Excel.Sheet.12" ShapeID="_x0000_i1026" DrawAspect="Content" ObjectID="_1661781940"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73265854"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w:t>
      </w:r>
      <w:r w:rsidR="00724E45">
        <w:t> platném znění</w:t>
      </w:r>
      <w:r w:rsidRPr="00184E0C">
        <w:t>, zákon č. 134/2016 Sb., o zadávání veřejných zakázek</w:t>
      </w:r>
      <w:r w:rsidR="00B94735">
        <w:t>, v platném znění</w:t>
      </w:r>
      <w:r w:rsidRPr="00184E0C">
        <w:t xml:space="preserve"> nebo Metodický pokyn pro </w:t>
      </w:r>
      <w:r w:rsidRPr="00184E0C">
        <w:lastRenderedPageBreak/>
        <w:t>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15pt;height:48.85pt" o:ole="">
            <v:imagedata r:id="rId14" o:title=""/>
          </v:shape>
          <o:OLEObject Type="Embed" ProgID="Excel.Sheet.12" ShapeID="_x0000_i1027" DrawAspect="Content" ObjectID="_1661781941"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8.55pt;height:69.45pt" o:ole="">
            <v:imagedata r:id="rId16" o:title=""/>
          </v:shape>
          <o:OLEObject Type="Embed" ProgID="Excel.Sheet.12" ShapeID="_x0000_i1028" DrawAspect="Content" ObjectID="_1661781942"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lastRenderedPageBreak/>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lastRenderedPageBreak/>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E35B" w14:textId="77777777" w:rsidR="00A91767" w:rsidRDefault="00A91767" w:rsidP="00634381">
      <w:pPr>
        <w:spacing w:after="0" w:line="240" w:lineRule="auto"/>
      </w:pPr>
      <w:r>
        <w:separator/>
      </w:r>
    </w:p>
  </w:endnote>
  <w:endnote w:type="continuationSeparator" w:id="0">
    <w:p w14:paraId="2F38CE3F" w14:textId="77777777" w:rsidR="00A91767" w:rsidRDefault="00A91767"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23400A27"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252D8">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252D8">
            <w:rPr>
              <w:rStyle w:val="slostrnky"/>
              <w:rFonts w:ascii="Arial" w:hAnsi="Arial" w:cs="Arial"/>
              <w:noProof/>
              <w:sz w:val="20"/>
            </w:rPr>
            <w:t>14</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21936" w14:textId="77777777" w:rsidR="00A91767" w:rsidRDefault="00A91767" w:rsidP="00634381">
      <w:pPr>
        <w:spacing w:after="0" w:line="240" w:lineRule="auto"/>
      </w:pPr>
      <w:r>
        <w:separator/>
      </w:r>
    </w:p>
  </w:footnote>
  <w:footnote w:type="continuationSeparator" w:id="0">
    <w:p w14:paraId="532F2FF3" w14:textId="77777777" w:rsidR="00A91767" w:rsidRDefault="00A91767"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11"/>
  </w:num>
  <w:num w:numId="6">
    <w:abstractNumId w:val="17"/>
  </w:num>
  <w:num w:numId="7">
    <w:abstractNumId w:val="3"/>
  </w:num>
  <w:num w:numId="8">
    <w:abstractNumId w:val="14"/>
  </w:num>
  <w:num w:numId="9">
    <w:abstractNumId w:val="2"/>
  </w:num>
  <w:num w:numId="10">
    <w:abstractNumId w:val="9"/>
  </w:num>
  <w:num w:numId="11">
    <w:abstractNumId w:val="0"/>
  </w:num>
  <w:num w:numId="12">
    <w:abstractNumId w:val="10"/>
  </w:num>
  <w:num w:numId="13">
    <w:abstractNumId w:val="13"/>
  </w:num>
  <w:num w:numId="14">
    <w:abstractNumId w:val="1"/>
  </w:num>
  <w:num w:numId="15">
    <w:abstractNumId w:val="4"/>
  </w:num>
  <w:num w:numId="16">
    <w:abstractNumId w:val="7"/>
  </w:num>
  <w:num w:numId="17">
    <w:abstractNumId w:val="19"/>
  </w:num>
  <w:num w:numId="18">
    <w:abstractNumId w:val="18"/>
  </w:num>
  <w:num w:numId="19">
    <w:abstractNumId w:val="8"/>
  </w:num>
  <w:num w:numId="20">
    <w:abstractNumId w:val="22"/>
  </w:num>
  <w:num w:numId="21">
    <w:abstractNumId w:val="20"/>
  </w:num>
  <w:num w:numId="22">
    <w:abstractNumId w:val="21"/>
  </w:num>
  <w:num w:numId="23">
    <w:abstractNumId w:val="15"/>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4EF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1BF9"/>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256"/>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4E45"/>
    <w:rsid w:val="00725905"/>
    <w:rsid w:val="00727161"/>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0ACA"/>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0BEF"/>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3C89"/>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4664"/>
    <w:rsid w:val="009D7224"/>
    <w:rsid w:val="009E4F57"/>
    <w:rsid w:val="009E5D6E"/>
    <w:rsid w:val="009E7821"/>
    <w:rsid w:val="009F2335"/>
    <w:rsid w:val="00A02B24"/>
    <w:rsid w:val="00A0613B"/>
    <w:rsid w:val="00A06479"/>
    <w:rsid w:val="00A110E6"/>
    <w:rsid w:val="00A160EE"/>
    <w:rsid w:val="00A24831"/>
    <w:rsid w:val="00A252D8"/>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1767"/>
    <w:rsid w:val="00A927A9"/>
    <w:rsid w:val="00A93601"/>
    <w:rsid w:val="00A9543E"/>
    <w:rsid w:val="00AA5D62"/>
    <w:rsid w:val="00AA6E68"/>
    <w:rsid w:val="00AA7DAE"/>
    <w:rsid w:val="00AB09D3"/>
    <w:rsid w:val="00AB4136"/>
    <w:rsid w:val="00AB577F"/>
    <w:rsid w:val="00AB7BA1"/>
    <w:rsid w:val="00AD0021"/>
    <w:rsid w:val="00AD0720"/>
    <w:rsid w:val="00AD07A4"/>
    <w:rsid w:val="00AE074D"/>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97856"/>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376D"/>
    <w:rsid w:val="00D06796"/>
    <w:rsid w:val="00D07CAE"/>
    <w:rsid w:val="00D07ED9"/>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18D"/>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0136125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4C11-F9E7-4F47-B852-15643160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3051</Words>
  <Characters>18006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Claudia Kähsová</cp:lastModifiedBy>
  <cp:revision>4</cp:revision>
  <cp:lastPrinted>2016-07-19T07:29:00Z</cp:lastPrinted>
  <dcterms:created xsi:type="dcterms:W3CDTF">2020-09-02T10:52:00Z</dcterms:created>
  <dcterms:modified xsi:type="dcterms:W3CDTF">2020-09-16T15:19:00Z</dcterms:modified>
</cp:coreProperties>
</file>